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Courier New" w:hAnsi="Courier New" w:cs="Courier New"/>
          <w:sz w:val="24"/>
          <w:szCs w:val="24"/>
        </w:rPr>
      </w:pPr>
      <w:r>
        <w:rPr>
          <w:rFonts w:cs="Courier New" w:ascii="Courier New" w:hAnsi="Courier New"/>
          <w:sz w:val="24"/>
          <w:szCs w:val="24"/>
        </w:rPr>
        <w:tab/>
        <w:tab/>
        <w:tab/>
        <w:tab/>
        <w:tab/>
        <w:tab/>
        <w:tab/>
        <w:tab/>
        <w:tab/>
        <w:tab/>
        <w:tab/>
        <w:t>1 of 2</w:t>
      </w:r>
    </w:p>
    <w:p>
      <w:pPr>
        <w:pStyle w:val="Normal"/>
        <w:rPr>
          <w:rFonts w:ascii="Courier New" w:hAnsi="Courier New" w:cs="Courier New"/>
          <w:sz w:val="24"/>
          <w:szCs w:val="24"/>
        </w:rPr>
      </w:pPr>
      <w:r>
        <w:rPr>
          <w:rFonts w:cs="Courier New" w:ascii="Courier New" w:hAnsi="Courier New"/>
          <w:sz w:val="24"/>
          <w:szCs w:val="24"/>
        </w:rPr>
        <w:t>Public Utility Commission of Texas</w:t>
        <w:tab/>
        <w:tab/>
        <w:tab/>
        <w:t>Docket No. 54617</w:t>
      </w:r>
    </w:p>
    <w:p>
      <w:pPr>
        <w:pStyle w:val="Normal"/>
        <w:rPr>
          <w:rFonts w:ascii="Courier New" w:hAnsi="Courier New" w:cs="Courier New"/>
          <w:sz w:val="24"/>
          <w:szCs w:val="24"/>
        </w:rPr>
      </w:pPr>
      <w:r>
        <w:rPr>
          <w:rFonts w:cs="Courier New" w:ascii="Courier New" w:hAnsi="Courier New"/>
          <w:sz w:val="24"/>
          <w:szCs w:val="24"/>
        </w:rPr>
        <w:tab/>
        <w:tab/>
        <w:tab/>
        <w:tab/>
        <w:tab/>
        <w:tab/>
        <w:tab/>
        <w:t>SOAH Docket No. 473-24-13127</w:t>
      </w:r>
    </w:p>
    <w:p>
      <w:pPr>
        <w:pStyle w:val="Normal"/>
        <w:rPr>
          <w:rFonts w:ascii="Courier New" w:hAnsi="Courier New" w:cs="Courier New"/>
          <w:sz w:val="24"/>
          <w:szCs w:val="24"/>
        </w:rPr>
      </w:pPr>
      <w:r>
        <w:rPr>
          <w:rFonts w:cs="Courier New" w:ascii="Courier New" w:hAnsi="Courier New"/>
          <w:sz w:val="24"/>
          <w:szCs w:val="24"/>
        </w:rPr>
        <w:t>Central Records</w:t>
        <w:tab/>
        <w:tab/>
        <w:tab/>
        <w:tab/>
        <w:tab/>
        <w:tab/>
        <w:tab/>
        <w:t>2</w:t>
      </w:r>
      <w:r>
        <w:rPr>
          <w:rFonts w:cs="Courier New" w:ascii="Courier New" w:hAnsi="Courier New"/>
          <w:sz w:val="24"/>
          <w:szCs w:val="24"/>
        </w:rPr>
        <w:t>2</w:t>
      </w:r>
      <w:r>
        <w:rPr>
          <w:rFonts w:cs="Courier New" w:ascii="Courier New" w:hAnsi="Courier New"/>
          <w:sz w:val="24"/>
          <w:szCs w:val="24"/>
        </w:rPr>
        <w:t xml:space="preserve"> August 2024</w:t>
      </w:r>
    </w:p>
    <w:p>
      <w:pPr>
        <w:pStyle w:val="Normal"/>
        <w:rPr>
          <w:rFonts w:ascii="Courier New" w:hAnsi="Courier New" w:cs="Courier New"/>
          <w:sz w:val="24"/>
          <w:szCs w:val="24"/>
        </w:rPr>
      </w:pPr>
      <w:r>
        <w:rPr>
          <w:rFonts w:cs="Courier New" w:ascii="Courier New" w:hAnsi="Courier New"/>
          <w:sz w:val="24"/>
          <w:szCs w:val="24"/>
        </w:rPr>
        <w:t>P.O. Box 13326</w:t>
      </w:r>
    </w:p>
    <w:p>
      <w:pPr>
        <w:pStyle w:val="Normal"/>
        <w:rPr>
          <w:rFonts w:ascii="Courier New" w:hAnsi="Courier New" w:cs="Courier New"/>
          <w:sz w:val="24"/>
          <w:szCs w:val="24"/>
        </w:rPr>
      </w:pPr>
      <w:r>
        <w:rPr>
          <w:rFonts w:cs="Courier New" w:ascii="Courier New" w:hAnsi="Courier New"/>
          <w:sz w:val="24"/>
          <w:szCs w:val="24"/>
        </w:rPr>
        <w:t>Austin, TX  78711-3326</w:t>
      </w:r>
    </w:p>
    <w:p>
      <w:pPr>
        <w:pStyle w:val="Normal"/>
        <w:rPr>
          <w:rFonts w:ascii="Courier New" w:hAnsi="Courier New" w:cs="Courier New"/>
          <w:sz w:val="24"/>
          <w:szCs w:val="24"/>
        </w:rPr>
      </w:pPr>
      <w:r>
        <w:rPr>
          <w:rFonts w:cs="Courier New" w:ascii="Courier New" w:hAnsi="Courier New"/>
          <w:sz w:val="24"/>
          <w:szCs w:val="24"/>
        </w:rPr>
      </w:r>
    </w:p>
    <w:p>
      <w:pPr>
        <w:pStyle w:val="Normal"/>
        <w:rPr>
          <w:rFonts w:ascii="Courier New" w:hAnsi="Courier New" w:cs="Courier New"/>
          <w:sz w:val="24"/>
          <w:szCs w:val="24"/>
        </w:rPr>
      </w:pPr>
      <w:r>
        <w:rPr>
          <w:rFonts w:cs="Courier New" w:ascii="Courier New" w:hAnsi="Courier New"/>
          <w:sz w:val="24"/>
          <w:szCs w:val="24"/>
        </w:rPr>
        <w:t>Subject:  Intervenor Reply To Initial Brief</w:t>
      </w:r>
    </w:p>
    <w:p>
      <w:pPr>
        <w:pStyle w:val="Normal"/>
        <w:rPr>
          <w:rFonts w:ascii="Courier New" w:hAnsi="Courier New" w:cs="Courier New"/>
          <w:sz w:val="24"/>
          <w:szCs w:val="24"/>
        </w:rPr>
      </w:pPr>
      <w:r>
        <w:rPr>
          <w:rFonts w:cs="Courier New" w:ascii="Courier New" w:hAnsi="Courier New"/>
          <w:sz w:val="24"/>
          <w:szCs w:val="24"/>
        </w:rPr>
      </w:r>
    </w:p>
    <w:p>
      <w:pPr>
        <w:pStyle w:val="Normal"/>
        <w:rPr/>
      </w:pPr>
      <w:r>
        <w:rPr>
          <w:rFonts w:cs="Courier New" w:ascii="Courier New" w:hAnsi="Courier New"/>
          <w:sz w:val="24"/>
          <w:szCs w:val="24"/>
        </w:rPr>
        <w:t>TO WHOM IT MAY CONCERN</w:t>
      </w:r>
    </w:p>
    <w:p>
      <w:pPr>
        <w:pStyle w:val="Normal"/>
        <w:rPr>
          <w:rFonts w:ascii="Courier New" w:hAnsi="Courier New" w:cs="Courier New"/>
          <w:sz w:val="24"/>
          <w:szCs w:val="24"/>
          <w:u w:val="single"/>
        </w:rPr>
      </w:pPr>
      <w:r>
        <w:rPr>
          <w:rFonts w:cs="Courier New" w:ascii="Courier New" w:hAnsi="Courier New"/>
          <w:sz w:val="24"/>
          <w:szCs w:val="24"/>
          <w:u w:val="single"/>
        </w:rPr>
      </w:r>
    </w:p>
    <w:p>
      <w:pPr>
        <w:pStyle w:val="Normal"/>
        <w:rPr>
          <w:rFonts w:ascii="Courier New" w:hAnsi="Courier New" w:cs="Courier New"/>
          <w:sz w:val="24"/>
          <w:szCs w:val="24"/>
        </w:rPr>
      </w:pPr>
      <w:r>
        <w:rPr>
          <w:rFonts w:cs="Courier New" w:ascii="Courier New" w:hAnsi="Courier New"/>
          <w:sz w:val="24"/>
          <w:szCs w:val="24"/>
        </w:rPr>
      </w:r>
    </w:p>
    <w:p>
      <w:pPr>
        <w:pStyle w:val="Normal"/>
        <w:ind w:firstLine="720" w:left="2160"/>
        <w:rPr>
          <w:rFonts w:ascii="Courier New" w:hAnsi="Courier New" w:cs="Courier New"/>
          <w:b/>
          <w:bCs/>
          <w:sz w:val="24"/>
          <w:szCs w:val="24"/>
        </w:rPr>
      </w:pPr>
      <w:r>
        <w:rPr>
          <w:rFonts w:cs="Courier New" w:ascii="Courier New" w:hAnsi="Courier New"/>
          <w:b/>
          <w:bCs/>
          <w:sz w:val="24"/>
          <w:szCs w:val="24"/>
        </w:rPr>
        <w:t>I.  INTRODUCTION</w:t>
      </w:r>
    </w:p>
    <w:p>
      <w:pPr>
        <w:pStyle w:val="Normal"/>
        <w:rPr>
          <w:rFonts w:ascii="Courier New" w:hAnsi="Courier New" w:cs="Courier New"/>
          <w:b/>
          <w:bCs/>
          <w:sz w:val="24"/>
          <w:szCs w:val="24"/>
        </w:rPr>
      </w:pPr>
      <w:r>
        <w:rPr>
          <w:rFonts w:cs="Courier New" w:ascii="Courier New" w:hAnsi="Courier New"/>
          <w:b/>
          <w:bCs/>
          <w:sz w:val="24"/>
          <w:szCs w:val="24"/>
        </w:rPr>
      </w:r>
    </w:p>
    <w:p>
      <w:pPr>
        <w:pStyle w:val="Normal"/>
        <w:rPr>
          <w:rFonts w:ascii="Courier New" w:hAnsi="Courier New" w:cs="Courier New"/>
          <w:sz w:val="24"/>
          <w:szCs w:val="24"/>
        </w:rPr>
      </w:pPr>
      <w:r>
        <w:rPr>
          <w:rFonts w:cs="Courier New" w:ascii="Courier New" w:hAnsi="Courier New"/>
          <w:sz w:val="24"/>
          <w:szCs w:val="24"/>
        </w:rPr>
        <w:tab/>
        <w:t>On July 23, 2024, the administrative law judge (ALJ) ordered to submit all Reply To Initial Brief by August 23,2024.  Therefore, this reply to initial brief is timely filed.</w:t>
      </w:r>
    </w:p>
    <w:p>
      <w:pPr>
        <w:pStyle w:val="Normal"/>
        <w:rPr>
          <w:rFonts w:ascii="Courier New" w:hAnsi="Courier New" w:cs="Courier New"/>
          <w:sz w:val="24"/>
          <w:szCs w:val="24"/>
        </w:rPr>
      </w:pPr>
      <w:r>
        <w:rPr>
          <w:rFonts w:cs="Courier New" w:ascii="Courier New" w:hAnsi="Courier New"/>
          <w:sz w:val="24"/>
          <w:szCs w:val="24"/>
        </w:rPr>
      </w:r>
    </w:p>
    <w:p>
      <w:pPr>
        <w:pStyle w:val="Normal"/>
        <w:ind w:firstLine="720" w:left="720"/>
        <w:rPr>
          <w:rFonts w:ascii="Courier New" w:hAnsi="Courier New" w:cs="Courier New"/>
          <w:sz w:val="24"/>
          <w:szCs w:val="24"/>
        </w:rPr>
      </w:pPr>
      <w:r>
        <w:rPr>
          <w:rFonts w:cs="Courier New" w:ascii="Courier New" w:hAnsi="Courier New"/>
          <w:b/>
          <w:bCs/>
          <w:sz w:val="24"/>
          <w:szCs w:val="24"/>
        </w:rPr>
        <w:t>II.  Issues With TWU And PUC Initial Brief</w:t>
      </w:r>
    </w:p>
    <w:p>
      <w:pPr>
        <w:pStyle w:val="Normal"/>
        <w:rPr>
          <w:rFonts w:ascii="Courier New" w:hAnsi="Courier New" w:cs="Courier New"/>
          <w:sz w:val="24"/>
          <w:szCs w:val="24"/>
        </w:rPr>
      </w:pPr>
      <w:r>
        <w:rPr>
          <w:rFonts w:cs="Courier New" w:ascii="Courier New" w:hAnsi="Courier New"/>
          <w:sz w:val="24"/>
          <w:szCs w:val="24"/>
        </w:rPr>
      </w:r>
    </w:p>
    <w:p>
      <w:pPr>
        <w:pStyle w:val="Normal"/>
        <w:ind w:firstLine="720"/>
        <w:rPr>
          <w:rFonts w:ascii="Courier New" w:hAnsi="Courier New" w:cs="Courier New"/>
          <w:sz w:val="24"/>
          <w:szCs w:val="24"/>
        </w:rPr>
      </w:pPr>
      <w:r>
        <w:rPr>
          <w:rFonts w:cs="Courier New" w:ascii="Courier New" w:hAnsi="Courier New"/>
          <w:sz w:val="24"/>
          <w:szCs w:val="24"/>
        </w:rPr>
        <w:t xml:space="preserve">Public Interest. How can higher rates, that put a burden on consumers, be considered just &amp; reasonable and in the public interest? These concerns must be taken seriously. </w:t>
      </w:r>
    </w:p>
    <w:p>
      <w:pPr>
        <w:pStyle w:val="Normal"/>
        <w:ind w:firstLine="720"/>
        <w:rPr>
          <w:rFonts w:ascii="Courier New" w:hAnsi="Courier New" w:cs="Courier New"/>
          <w:sz w:val="24"/>
          <w:szCs w:val="24"/>
        </w:rPr>
      </w:pPr>
      <w:r>
        <w:rPr>
          <w:rFonts w:cs="Courier New" w:ascii="Courier New" w:hAnsi="Courier New"/>
          <w:sz w:val="24"/>
          <w:szCs w:val="24"/>
        </w:rPr>
        <w:t xml:space="preserve">Recommendations by TWU and PUC, to imposing TWU initial rates, will unjustly burden all of us customers with an outrageously high tariff (100% increase from today to tomorrow). </w:t>
      </w:r>
    </w:p>
    <w:p>
      <w:pPr>
        <w:pStyle w:val="Normal"/>
        <w:ind w:firstLine="720"/>
        <w:rPr>
          <w:rFonts w:ascii="Courier New" w:hAnsi="Courier New" w:cs="Courier New"/>
          <w:sz w:val="24"/>
          <w:szCs w:val="24"/>
        </w:rPr>
      </w:pPr>
      <w:r>
        <w:rPr>
          <w:rFonts w:cs="Courier New" w:ascii="Courier New" w:hAnsi="Courier New"/>
          <w:sz w:val="24"/>
          <w:szCs w:val="24"/>
        </w:rPr>
        <w:t xml:space="preserve">Intervenors do not stand a chance as Mr. Faulk stated in his Initial Brief ‘customers without any water rate-making experience should not be given any weight in this proceeding.” Excuse me but isn’t that PUC’s job to protect consumers? We have had experience before in appealing rate increases, maybe not as much as ya’ll, in which we negotiated a reasonable price rate. </w:t>
      </w:r>
    </w:p>
    <w:p>
      <w:pPr>
        <w:pStyle w:val="Normal"/>
        <w:rPr>
          <w:rFonts w:ascii="Courier New" w:hAnsi="Courier New" w:cs="Courier New"/>
          <w:sz w:val="24"/>
          <w:szCs w:val="24"/>
        </w:rPr>
      </w:pPr>
      <w:r>
        <w:rPr>
          <w:rFonts w:cs="Courier New" w:ascii="Courier New" w:hAnsi="Courier New"/>
          <w:sz w:val="24"/>
          <w:szCs w:val="24"/>
        </w:rPr>
        <w:tab/>
        <w:tab/>
        <w:tab/>
        <w:tab/>
        <w:tab/>
        <w:tab/>
        <w:tab/>
        <w:tab/>
        <w:tab/>
        <w:tab/>
        <w:t>2 of 2</w:t>
      </w:r>
      <w:bookmarkStart w:id="0" w:name="_GoBack"/>
      <w:bookmarkEnd w:id="0"/>
    </w:p>
    <w:p>
      <w:pPr>
        <w:pStyle w:val="Normal"/>
        <w:rPr>
          <w:rFonts w:ascii="Courier New" w:hAnsi="Courier New" w:cs="Courier New"/>
          <w:sz w:val="24"/>
          <w:szCs w:val="24"/>
        </w:rPr>
      </w:pPr>
      <w:r>
        <w:rPr>
          <w:rFonts w:cs="Courier New" w:ascii="Courier New" w:hAnsi="Courier New"/>
          <w:sz w:val="24"/>
          <w:szCs w:val="24"/>
        </w:rPr>
        <w:t>This hike seems to be only in the interest to make money for TWU whether it is fair or not.</w:t>
      </w:r>
    </w:p>
    <w:p>
      <w:pPr>
        <w:pStyle w:val="Normal"/>
        <w:ind w:firstLine="720"/>
        <w:rPr>
          <w:rFonts w:ascii="Courier New" w:hAnsi="Courier New" w:cs="Courier New"/>
          <w:sz w:val="24"/>
          <w:szCs w:val="24"/>
        </w:rPr>
      </w:pPr>
      <w:r>
        <w:rPr>
          <w:rFonts w:cs="Courier New" w:ascii="Courier New" w:hAnsi="Courier New"/>
          <w:sz w:val="24"/>
          <w:szCs w:val="24"/>
        </w:rPr>
        <w:t>As to TWUs 10% argument. As I stated, a large population of our subdivisions are low income, retired, veterans, and or of Hispanic descent and have little or no idea what this STM is all about (hence the low intervenor participation).  No money for legal representation, time, or stamina to go through this grueling intervenor process.</w:t>
      </w:r>
    </w:p>
    <w:p>
      <w:pPr>
        <w:pStyle w:val="Normal"/>
        <w:rPr>
          <w:rFonts w:ascii="Courier New" w:hAnsi="Courier New" w:cs="Courier New"/>
          <w:sz w:val="24"/>
          <w:szCs w:val="24"/>
        </w:rPr>
      </w:pPr>
      <w:r>
        <w:rPr>
          <w:rFonts w:cs="Courier New" w:ascii="Courier New" w:hAnsi="Courier New"/>
          <w:sz w:val="24"/>
          <w:szCs w:val="24"/>
        </w:rPr>
        <w:tab/>
        <w:t>If the intervenor process would have been on a petition basis, I know for a fact, the participation rate would have reflected a greater number of customers from our subdivision.</w:t>
      </w:r>
    </w:p>
    <w:p>
      <w:pPr>
        <w:pStyle w:val="Normal"/>
        <w:rPr>
          <w:rFonts w:ascii="Courier New" w:hAnsi="Courier New" w:cs="Courier New"/>
          <w:sz w:val="24"/>
          <w:szCs w:val="24"/>
        </w:rPr>
      </w:pPr>
      <w:r>
        <w:rPr>
          <w:rFonts w:cs="Courier New" w:ascii="Courier New" w:hAnsi="Courier New"/>
          <w:sz w:val="24"/>
          <w:szCs w:val="24"/>
        </w:rPr>
        <w:tab/>
        <w:t>As to TWUs claim that “Direct-to-Customers” be more effective tool. An STM with TWU initial rate would be devastating.  Existing rates should remain to alleviate further strain and burden on us customers.</w:t>
      </w:r>
    </w:p>
    <w:p>
      <w:pPr>
        <w:pStyle w:val="Normal"/>
        <w:rPr>
          <w:rFonts w:ascii="Courier New" w:hAnsi="Courier New" w:cs="Courier New"/>
          <w:sz w:val="24"/>
          <w:szCs w:val="24"/>
        </w:rPr>
      </w:pPr>
      <w:r>
        <w:rPr>
          <w:rFonts w:cs="Courier New" w:ascii="Courier New" w:hAnsi="Courier New"/>
          <w:sz w:val="24"/>
          <w:szCs w:val="24"/>
        </w:rPr>
      </w:r>
    </w:p>
    <w:p>
      <w:pPr>
        <w:pStyle w:val="Normal"/>
        <w:rPr>
          <w:rFonts w:ascii="Courier New" w:hAnsi="Courier New" w:cs="Courier New"/>
          <w:b/>
          <w:bCs/>
          <w:sz w:val="24"/>
          <w:szCs w:val="24"/>
        </w:rPr>
      </w:pPr>
      <w:r>
        <w:rPr>
          <w:rFonts w:cs="Courier New" w:ascii="Courier New" w:hAnsi="Courier New"/>
          <w:b/>
          <w:bCs/>
          <w:sz w:val="24"/>
          <w:szCs w:val="24"/>
        </w:rPr>
        <w:tab/>
        <w:tab/>
        <w:tab/>
        <w:tab/>
        <w:t>III.  CONCLUSION</w:t>
      </w:r>
    </w:p>
    <w:p>
      <w:pPr>
        <w:pStyle w:val="Normal"/>
        <w:rPr>
          <w:rFonts w:ascii="Courier New" w:hAnsi="Courier New" w:cs="Courier New"/>
          <w:sz w:val="24"/>
          <w:szCs w:val="24"/>
        </w:rPr>
      </w:pPr>
      <w:r>
        <w:rPr>
          <w:rFonts w:cs="Courier New" w:ascii="Courier New" w:hAnsi="Courier New"/>
          <w:sz w:val="24"/>
          <w:szCs w:val="24"/>
        </w:rPr>
      </w:r>
    </w:p>
    <w:p>
      <w:pPr>
        <w:pStyle w:val="Normal"/>
        <w:ind w:firstLine="720"/>
        <w:rPr>
          <w:rFonts w:ascii="Courier New" w:hAnsi="Courier New" w:cs="Courier New"/>
          <w:sz w:val="24"/>
          <w:szCs w:val="24"/>
        </w:rPr>
      </w:pPr>
      <w:r>
        <w:rPr>
          <w:rFonts w:cs="Courier New" w:ascii="Courier New" w:hAnsi="Courier New"/>
          <w:sz w:val="24"/>
          <w:szCs w:val="24"/>
        </w:rPr>
        <w:t xml:space="preserve">May I remind you, our subdivisions are struggling, as it is, to pay their bills now.  I have stated before that conversations on our community website reflect all their concerns on this STM. I have been living in Southern Crossing for 22 years and seen how we all are struggling to survive. This STM is not in the public interest and should not go forward unless our current SHDI existing rates stay.  We need PUC &amp; OPEC to fight for the consumers to stop monopolies from taking over because they feel superior to small communities. </w:t>
      </w:r>
    </w:p>
    <w:p>
      <w:pPr>
        <w:pStyle w:val="Normal"/>
        <w:rPr>
          <w:rFonts w:ascii="Courier New" w:hAnsi="Courier New" w:cs="Courier New"/>
          <w:sz w:val="24"/>
          <w:szCs w:val="24"/>
        </w:rPr>
      </w:pPr>
      <w:r>
        <w:rPr>
          <w:rFonts w:cs="Courier New" w:ascii="Courier New" w:hAnsi="Courier New"/>
          <w:sz w:val="24"/>
          <w:szCs w:val="24"/>
        </w:rPr>
      </w:r>
    </w:p>
    <w:p>
      <w:pPr>
        <w:pStyle w:val="Normal"/>
        <w:rPr>
          <w:rFonts w:ascii="Courier New" w:hAnsi="Courier New" w:cs="Courier New"/>
          <w:sz w:val="24"/>
          <w:szCs w:val="24"/>
        </w:rPr>
      </w:pPr>
      <w:r>
        <w:rPr>
          <w:rFonts w:cs="Courier New" w:ascii="Courier New" w:hAnsi="Courier New"/>
          <w:sz w:val="24"/>
          <w:szCs w:val="24"/>
        </w:rPr>
      </w:r>
    </w:p>
    <w:p>
      <w:pPr>
        <w:pStyle w:val="Normal"/>
        <w:rPr>
          <w:rFonts w:ascii="Courier New" w:hAnsi="Courier New" w:cs="Courier New"/>
          <w:sz w:val="24"/>
          <w:szCs w:val="24"/>
        </w:rPr>
      </w:pPr>
      <w:r>
        <w:rPr>
          <w:rFonts w:cs="Courier New" w:ascii="Courier New" w:hAnsi="Courier New"/>
          <w:sz w:val="24"/>
          <w:szCs w:val="24"/>
        </w:rPr>
        <w:t>Respectfully submitted,</w:t>
      </w:r>
    </w:p>
    <w:p>
      <w:pPr>
        <w:pStyle w:val="Normal"/>
        <w:rPr>
          <w:rFonts w:ascii="Courier New" w:hAnsi="Courier New" w:cs="Courier New"/>
          <w:sz w:val="24"/>
          <w:szCs w:val="24"/>
        </w:rPr>
      </w:pPr>
      <w:r>
        <w:rPr>
          <w:rFonts w:cs="Courier New" w:ascii="Courier New" w:hAnsi="Courier New"/>
          <w:sz w:val="24"/>
          <w:szCs w:val="24"/>
        </w:rPr>
      </w:r>
    </w:p>
    <w:p>
      <w:pPr>
        <w:pStyle w:val="Normal"/>
        <w:rPr>
          <w:rFonts w:ascii="Courier New" w:hAnsi="Courier New" w:cs="Courier New"/>
          <w:sz w:val="24"/>
          <w:szCs w:val="24"/>
        </w:rPr>
      </w:pPr>
      <w:r>
        <w:rPr>
          <w:rFonts w:cs="Courier New" w:ascii="Courier New" w:hAnsi="Courier New"/>
          <w:sz w:val="24"/>
          <w:szCs w:val="24"/>
        </w:rPr>
        <w:t>Mrs. Constance Stover</w:t>
      </w:r>
    </w:p>
    <w:p>
      <w:pPr>
        <w:pStyle w:val="Normal"/>
        <w:spacing w:before="0" w:after="160"/>
        <w:rPr>
          <w:rFonts w:ascii="Courier New" w:hAnsi="Courier New" w:cs="Courier New"/>
          <w:sz w:val="24"/>
          <w:szCs w:val="24"/>
        </w:rPr>
      </w:pPr>
      <w:r>
        <w:rPr>
          <w:rFonts w:cs="Courier New" w:ascii="Courier New" w:hAnsi="Courier New"/>
          <w:sz w:val="24"/>
          <w:szCs w:val="24"/>
        </w:rPr>
        <w:t>Intervenor</w:t>
      </w:r>
    </w:p>
    <w:sectPr>
      <w:type w:val="nextPage"/>
      <w:pgSz w:w="12240" w:h="15840"/>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roman"/>
    <w:pitch w:val="variable"/>
  </w:font>
  <w:font w:name="Liberation Sans">
    <w:altName w:val="Arial"/>
    <w:charset w:val="00"/>
    <w:family w:val="roman"/>
    <w:pitch w:val="variable"/>
  </w:font>
  <w:font w:name="Courier New">
    <w:charset w:val="00"/>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BalloonTextChar" w:customStyle="1">
    <w:name w:val="Balloon Text Char"/>
    <w:basedOn w:val="DefaultParagraphFont"/>
    <w:link w:val="BalloonText"/>
    <w:uiPriority w:val="99"/>
    <w:semiHidden/>
    <w:qFormat/>
    <w:rsid w:val="0003388e"/>
    <w:rPr>
      <w:rFonts w:ascii="Segoe UI" w:hAnsi="Segoe UI" w:cs="Segoe UI"/>
      <w:sz w:val="18"/>
      <w:szCs w:val="18"/>
    </w:rPr>
  </w:style>
  <w:style w:type="paragraph" w:styleId="Heading" w:customStyle="1">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customStyle="1">
    <w:name w:val="Index"/>
    <w:basedOn w:val="Normal"/>
    <w:qFormat/>
    <w:pPr>
      <w:suppressLineNumbers/>
    </w:pPr>
    <w:rPr>
      <w:rFonts w:cs="Lucida Sans"/>
    </w:rPr>
  </w:style>
  <w:style w:type="paragraph" w:styleId="ListParagraph">
    <w:name w:val="List Paragraph"/>
    <w:basedOn w:val="Normal"/>
    <w:uiPriority w:val="34"/>
    <w:qFormat/>
    <w:rsid w:val="00f33383"/>
    <w:pPr>
      <w:spacing w:before="0" w:after="160"/>
      <w:ind w:left="720"/>
      <w:contextualSpacing/>
    </w:pPr>
    <w:rPr/>
  </w:style>
  <w:style w:type="paragraph" w:styleId="BalloonText">
    <w:name w:val="Balloon Text"/>
    <w:basedOn w:val="Normal"/>
    <w:link w:val="BalloonTextChar"/>
    <w:uiPriority w:val="99"/>
    <w:semiHidden/>
    <w:unhideWhenUsed/>
    <w:qFormat/>
    <w:rsid w:val="0003388e"/>
    <w:pPr>
      <w:spacing w:lineRule="auto" w:line="240" w:before="0" w:after="0"/>
    </w:pPr>
    <w:rPr>
      <w:rFonts w:ascii="Segoe UI" w:hAnsi="Segoe UI" w:cs="Segoe UI"/>
      <w:sz w:val="18"/>
      <w:szCs w:val="18"/>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79</TotalTime>
  <Application>LibreOffice/24.2.5.2$Windows_X86_64 LibreOffice_project/bffef4ea93e59bebbeaf7f431bb02b1a39ee8a59</Application>
  <AppVersion>15.0000</AppVersion>
  <Pages>2</Pages>
  <Words>438</Words>
  <Characters>2154</Characters>
  <CharactersWithSpaces>2625</CharactersWithSpaces>
  <Paragraphs>24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2024-08-22T16:19:00Z</dcterms:created>
  <dc:creator>Owner</dc:creator>
  <dc:description/>
  <dc:language>en-US</dc:language>
  <cp:lastModifiedBy/>
  <cp:lastPrinted>2024-08-22T16:22:00Z</cp:lastPrinted>
  <dcterms:modified xsi:type="dcterms:W3CDTF">2024-08-22T13:09:52Z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